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extended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rPr>
          <w:rFonts w:ascii="XO Thames" w:hAnsi="XO Thames"/>
          <w:sz w:val="28"/>
        </w:rPr>
      </w:pPr>
    </w:p>
    <w:p w14:paraId="02000000">
      <w:pPr>
        <w:rPr>
          <w:rFonts w:ascii="XO Thames" w:hAnsi="XO Thames"/>
          <w:sz w:val="28"/>
        </w:rPr>
      </w:pPr>
      <w:r>
        <w:drawing>
          <wp:inline>
            <wp:extent cx="6482080" cy="8910321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 r:link=""/>
                    <a:stretch/>
                  </pic:blipFill>
                  <pic:spPr>
                    <a:xfrm flipH="false" flipV="false" rot="0">
                      <a:ext cx="6482080" cy="891032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rPr>
          <w:rFonts w:ascii="XO Thames" w:hAnsi="XO Thames"/>
          <w:sz w:val="28"/>
        </w:rPr>
      </w:pPr>
    </w:p>
    <w:p w14:paraId="04000000">
      <w:pPr>
        <w:rPr>
          <w:rFonts w:ascii="XO Thames" w:hAnsi="XO Thames"/>
          <w:sz w:val="28"/>
        </w:rPr>
      </w:pPr>
    </w:p>
    <w:p w14:paraId="05000000">
      <w:pPr>
        <w:rPr>
          <w:rFonts w:ascii="XO Thames" w:hAnsi="XO Thames"/>
          <w:sz w:val="28"/>
        </w:rPr>
      </w:pPr>
    </w:p>
    <w:p w14:paraId="06000000">
      <w:pPr>
        <w:spacing w:after="150" w:before="0"/>
        <w:ind w:hanging="120" w:left="120" w:right="0"/>
        <w:jc w:val="center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  <w:t>ПОЯСНИТЕЛЬНАЯ ЗАПИСКА</w:t>
      </w:r>
    </w:p>
    <w:p w14:paraId="07000000">
      <w:pPr>
        <w:spacing w:after="150" w:before="0"/>
        <w:ind w:hanging="120" w:left="120" w:right="0"/>
        <w:jc w:val="center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  <w:t xml:space="preserve">ОБЩАЯ ХАРАКТЕРИСТИКА ПРОГРАММЫ ПО ПРОФОРИЕНТАЦИИ «БИЛЕТ В </w:t>
      </w:r>
      <w:r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  <w:t>БУДУЩЕЕ»</w:t>
      </w:r>
    </w:p>
    <w:p w14:paraId="08000000">
      <w:pPr>
        <w:spacing w:after="150" w:before="0"/>
        <w:ind w:hanging="120" w:left="120" w:right="0"/>
        <w:jc w:val="both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Программа курса внеурочной деятельности по профориентации «Билет в будущее» составлена на основе положений и требований к освоению предметных результатов программы основного общего образования, представленных в Федеральном государственном образовательном стандарте основного общего образования в соответствии с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обучающихся, во исполнение поручений Президента РФ Пр-328 п. 1 от 23.02.2018 года, Пр-2182 от 20.12.2020 года»), с учетом проекта Примерной рабочей программы воспитания для общеобразовательных организаций (одобрена решением федерального учебно- методического объединения по общему образованию, от 24.06.2022 г.), Распоряжения Минпросвещения России от 08.09.2021 N АБ-33/05вн «Об утверждении методических рекомендаций о реализации проекта «Билет в будущее» в рамках федерального проекта «Успех каждого ребенка» (вместе с «Методическими рекомендациями о реализации проекта «Билет в будущее» в рамках федерального проекта «Успех каждого ребенка» в 2022 году»).</w:t>
      </w:r>
    </w:p>
    <w:p w14:paraId="09000000">
      <w:pPr>
        <w:spacing w:after="150" w:before="0"/>
        <w:ind w:hanging="120" w:left="120" w:right="0"/>
        <w:jc w:val="both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Рабочая программа разработана с целью реализации комплексной и систематической профориентационной работы для обучающихся 7 класса на основе материалов Всероссийского Проекта «Билет в будущее». Проект реализуется в рамках федерального проекта</w:t>
      </w:r>
    </w:p>
    <w:p w14:paraId="0A000000">
      <w:pPr>
        <w:spacing w:after="150" w:before="0"/>
        <w:ind w:hanging="120" w:left="120" w:right="0"/>
        <w:jc w:val="both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«Успех каждого ребенка», национального проекта «Образование». Оператором проекта выступает Фонд гуманитарных проектов.</w:t>
      </w:r>
    </w:p>
    <w:p w14:paraId="0B000000">
      <w:pPr>
        <w:spacing w:after="150" w:before="0"/>
        <w:ind w:hanging="120" w:left="120" w:right="0"/>
        <w:jc w:val="both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Стратегия развития воспитания в Российской Федерации на период до 2025 года (утвержденная Правительством Российской Федерации, Распоряжение от 29 мая 2015 г. № 996-р).</w:t>
      </w:r>
    </w:p>
    <w:p w14:paraId="0C000000">
      <w:pPr>
        <w:spacing w:after="150" w:before="0"/>
        <w:ind w:hanging="120" w:left="120" w:right="0"/>
        <w:jc w:val="both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  <w:t>Педагог-навигатор -</w:t>
      </w:r>
      <w:r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  <w:t> </w:t>
      </w: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(ответственный за профессиональную ориентацию обучающихся) – специалист, непосредственно осуществляющий педагогическую поддержку обучающихся в процессе формирования и дальнейшей реализации их индивидуальных образовательно-профессиональных траекторий. В качестве педагогов-навигаторов могут выступать педагогические работники основного и среднего общего образования, дополнительного образования.</w:t>
      </w:r>
    </w:p>
    <w:p w14:paraId="0D000000">
      <w:pPr>
        <w:spacing w:after="150" w:before="0"/>
        <w:ind w:hanging="120" w:left="120" w:right="0"/>
        <w:jc w:val="both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Внеурочная деятельность — важная часть образовательного и воспитательного комплекса, в рамках которой педагогический состав школы способствует обеспечению содержательного досуга детей через организацию комплексной профориентационной деятельности. Рекомендовано в рамках внеурочной деятельности осуществлять мероприятия, направленные на создание и функционирование системы мер по ранней профориентации обучающихся 7 класса. Одним из вариантов реализации профориентационной работы в школе является участие образовательной организации во Всероссийском проекте «Билет в будущее»</w:t>
      </w:r>
    </w:p>
    <w:p w14:paraId="0E000000">
      <w:pPr>
        <w:spacing w:after="150" w:before="0"/>
        <w:ind w:hanging="120" w:left="120" w:right="0"/>
        <w:jc w:val="both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Воспитание - деятельность, направленная на развитие личности, создание условий для самоопределения и социализации обучающихся на основе социокультурных, духовно- 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0F000000">
      <w:pPr>
        <w:spacing w:after="150" w:before="0"/>
        <w:ind w:hanging="120" w:left="120" w:right="0"/>
        <w:jc w:val="both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Мероприятия программы построены на основе системной модели содействия самоопределению обучающихся общеобразовательных организаций, основанной на сочетании мотивационно-активизирующего, информационно-обучающего, практико-ориентированного и диагностико-консультативного подходов к формированию готовности к профессиональному самоопределению и вовлечению всех участников образовательного процесса.</w:t>
      </w:r>
    </w:p>
    <w:p w14:paraId="10000000">
      <w:pPr>
        <w:rPr>
          <w:rFonts w:ascii="XO Thames" w:hAnsi="XO Thames"/>
          <w:b w:val="1"/>
          <w:sz w:val="28"/>
        </w:rPr>
      </w:pPr>
      <w:r>
        <w:rPr>
          <w:rFonts w:ascii="XO Thames" w:hAnsi="XO Thames"/>
          <w:b w:val="1"/>
          <w:i w:val="0"/>
          <w:caps w:val="0"/>
          <w:color w:val="252525"/>
          <w:spacing w:val="0"/>
          <w:sz w:val="28"/>
          <w:highlight w:val="white"/>
        </w:rPr>
        <w:t>ЦЕЛИ И ЗАДАЧИ ИЗУЧЕНИЯ КУРСА ПО ПРОФОРИЕНТАЦИИ «БИЛЕТ В БУДУЩЕЕ»</w:t>
      </w:r>
    </w:p>
    <w:p w14:paraId="11000000">
      <w:pPr>
        <w:spacing w:after="150" w:before="0"/>
        <w:ind w:hanging="120" w:left="120" w:right="0"/>
        <w:jc w:val="left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  <w:t>Цель:</w:t>
      </w:r>
      <w:r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  <w:t> </w:t>
      </w: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формирование готовности к профессиональному самоопределению обучающихся 7 класса общеобразовательных организаций.</w:t>
      </w:r>
    </w:p>
    <w:p w14:paraId="12000000">
      <w:pPr>
        <w:rPr>
          <w:rFonts w:ascii="XO Thames" w:hAnsi="XO Thames"/>
          <w:sz w:val="28"/>
        </w:rPr>
      </w:pPr>
      <w:r>
        <w:rPr>
          <w:rFonts w:ascii="XO Thames" w:hAnsi="XO Thames"/>
          <w:b w:val="0"/>
          <w:i w:val="0"/>
          <w:caps w:val="0"/>
          <w:color w:val="252525"/>
          <w:spacing w:val="0"/>
          <w:sz w:val="28"/>
          <w:highlight w:val="white"/>
        </w:rPr>
        <w:t>Задачи:</w:t>
      </w:r>
    </w:p>
    <w:p w14:paraId="13000000">
      <w:pPr>
        <w:numPr>
          <w:ilvl w:val="1"/>
          <w:numId w:val="1"/>
        </w:numPr>
        <w:spacing w:after="150" w:before="0"/>
        <w:ind w:firstLine="0" w:left="0" w:right="0"/>
        <w:jc w:val="both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построение системы содействия профессиональному самоопределению обучающихся общеобразовательных организаций, основанной на сочетании мотивационно- активизирующего, информационно-обучающего, практико-ориентированного и диагностико-консультационного подходов к формированию ГПС и вовлечению всех участников образовательного процесса;</w:t>
      </w:r>
    </w:p>
    <w:p w14:paraId="14000000">
      <w:pPr>
        <w:numPr>
          <w:ilvl w:val="1"/>
          <w:numId w:val="1"/>
        </w:numPr>
        <w:spacing w:after="150" w:before="0"/>
        <w:ind w:firstLine="0" w:left="0" w:right="0"/>
        <w:jc w:val="both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выявление исходного уровня сформированности внутренней (мотивационно-личностной) и внешней (знаниевой в виде карьерной грамотности) сторон готовности к профессиональному самоопределению у обучающихся и уровня готовности, который продемонстрирует обучающийся после участия в профориентационной программе;</w:t>
      </w:r>
    </w:p>
    <w:p w14:paraId="15000000">
      <w:pPr>
        <w:numPr>
          <w:ilvl w:val="1"/>
          <w:numId w:val="1"/>
        </w:numPr>
        <w:spacing w:after="150" w:before="0"/>
        <w:ind w:firstLine="0" w:left="0" w:right="0"/>
        <w:jc w:val="both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формирование индивидуальных рекомендаций для обучающихся по построению образовательно-профессиональной траектории в зависимости от уровня осознанности, интересов, способностей, доступных им возможностей;</w:t>
      </w:r>
    </w:p>
    <w:p w14:paraId="16000000">
      <w:pPr>
        <w:numPr>
          <w:ilvl w:val="1"/>
          <w:numId w:val="1"/>
        </w:numPr>
        <w:spacing w:after="150" w:before="0"/>
        <w:ind w:firstLine="0" w:left="0" w:right="0"/>
        <w:jc w:val="both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информирование обучающихся о специфике рынка труда и системе профессионального образования посредством различных мероприятий, в т.ч. профессиональных проб;</w:t>
      </w:r>
    </w:p>
    <w:p w14:paraId="17000000">
      <w:pPr>
        <w:numPr>
          <w:ilvl w:val="1"/>
          <w:numId w:val="1"/>
        </w:numPr>
        <w:spacing w:after="150" w:before="0"/>
        <w:ind w:firstLine="0" w:left="0" w:right="0"/>
        <w:jc w:val="both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формирование у обучающихся навыков и умений карьерной грамотности и других компетенций, необходимых для осуществления всех этапов карьерной самонавигации, приобретения и осмысления профориентационно значимого опыта, активного освоения ресурсов территориальной среды профессионального самоопределения, самооценки успешности прохождения профессиональных проб, осознанного конструирования индивидуальной образовательно-профессиональной траектории и ее адаптации с учетом имеющихся компетенций и возможностей среды.</w:t>
      </w:r>
    </w:p>
    <w:p w14:paraId="18000000">
      <w:pPr>
        <w:numPr>
          <w:ilvl w:val="1"/>
          <w:numId w:val="1"/>
        </w:numPr>
        <w:spacing w:after="150" w:before="0"/>
        <w:ind w:firstLine="0" w:left="0" w:right="0"/>
        <w:jc w:val="both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</w:t>
      </w:r>
    </w:p>
    <w:p w14:paraId="19000000">
      <w:pPr>
        <w:rPr>
          <w:rFonts w:ascii="XO Thames" w:hAnsi="XO Thames"/>
          <w:b w:val="1"/>
          <w:sz w:val="28"/>
        </w:rPr>
      </w:pPr>
      <w:r>
        <w:rPr>
          <w:rFonts w:ascii="XO Thames" w:hAnsi="XO Thames"/>
          <w:b w:val="1"/>
          <w:i w:val="0"/>
          <w:caps w:val="0"/>
          <w:color w:val="252525"/>
          <w:spacing w:val="0"/>
          <w:sz w:val="28"/>
          <w:highlight w:val="white"/>
        </w:rPr>
        <w:t>МЕСТО И РОЛЬ КУРСА ПО ПРОФОРИЕНТАЦИИ «БИЛЕТ В БУДУЩЕЕ» ВО ВНЕУРОЧНОЙ ДЕЯТЕЛЬНОСТИ</w:t>
      </w:r>
    </w:p>
    <w:p w14:paraId="1A000000">
      <w:pPr>
        <w:spacing w:after="150" w:before="0"/>
        <w:ind w:hanging="120" w:left="120" w:right="0"/>
        <w:jc w:val="both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В Стратегии развития воспитания в Российской Федерации на период до 2025 года одним из направлений считается трудовое воспитание и профессиональное самоопределение, которое реализуется посредством «воспитания у детей уважения к труду и людям труда, трудовым достижениям; содействия профессиональному самоопределению, приобщения детей к социально значимой деятельности для осмысленного выбора профессии».</w:t>
      </w:r>
    </w:p>
    <w:p w14:paraId="1B000000">
      <w:pPr>
        <w:spacing w:after="150" w:before="0"/>
        <w:ind w:hanging="120" w:left="120" w:right="0"/>
        <w:jc w:val="both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Подготовка обучающихся к самостоятельному, осознанному выбору профессии является обязательной частью гармоничного развития каждой личности и неотрывно рассматриваться в связке с физическим, эмоциональным, интеллектуальным, трудовым, эстетическим воспитанием школьника, т.е. интегрирована в учебно-воспитательный процесс, а, следовательно профориентационная работа в школах является одним из важнейших компонентов в развитии как отдельно взятого человека, так и общества в целом. Участие образовательной организации во Всероссийском проекте «Билет в будущее» позволит реализовать ключевые задачи профориентационной деятельности и получить информационно-методическое сопровождение специалистов, ответственных за реализацию программы (педагогов-навигаторов).</w:t>
      </w:r>
    </w:p>
    <w:p w14:paraId="1C000000">
      <w:pPr>
        <w:spacing w:after="150" w:before="0"/>
        <w:ind w:hanging="120" w:left="120" w:right="0"/>
        <w:jc w:val="both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Программа разработана с учетом преемственности профориентационных задач при переходе обучающихся 7 класса с одной ступени обучения на другую (при переходе из класса в класс). Учебная нагрузка – 34 часа (аудиторная и внеаудиторная (самостоятельная) работа).</w:t>
      </w:r>
    </w:p>
    <w:p w14:paraId="1D000000">
      <w:pPr>
        <w:spacing w:after="150" w:before="0"/>
        <w:ind w:hanging="120" w:left="120" w:right="0"/>
        <w:jc w:val="both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Методическое сопровождение курса представлено данной рабочей программой, методическими рекомендациями о реализации проекта профессиональной ориентации обучающихся 6-11 классов общеобразовательной школы «Билет в будущее», материалами Всероссийского проекта «Билет в будущее», доступными для ознакомления педагогам проекта, зарегистрированным на интернет-платформе</w:t>
      </w: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 </w:t>
      </w: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  <w:u w:color="000000" w:val="single"/>
        </w:rPr>
        <w:t>https://bvbinfo.ru/</w:t>
      </w: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.</w:t>
      </w:r>
    </w:p>
    <w:p w14:paraId="1E000000">
      <w:pPr>
        <w:spacing w:after="150" w:before="0"/>
        <w:ind w:hanging="120" w:left="120" w:right="0"/>
        <w:jc w:val="both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Курс рекомендуется для организации внеурочной деятельности на уровне основного и среднего общего образования. На групповых и индивидуальных занятиях используются современные профориентационные виды деятельности: профориентационные уроки, диагностика, разбор результатов диагностики, посещение мероприятий профориентационного выбора в регионе (очный формат и онлайн-формат), прохождение профессиональных проб и др.</w:t>
      </w:r>
      <w:r>
        <w:rPr>
          <w:rFonts w:ascii="XO Thames" w:hAnsi="XO Thames"/>
          <w:sz w:val="28"/>
        </w:rPr>
        <w:br/>
      </w:r>
    </w:p>
    <w:p w14:paraId="1F000000">
      <w:pPr>
        <w:spacing w:after="150" w:before="0"/>
        <w:ind w:hanging="120" w:left="120" w:right="0"/>
        <w:jc w:val="both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20000000">
      <w:pPr>
        <w:spacing w:after="150" w:before="0"/>
        <w:ind w:hanging="120" w:left="120" w:right="0"/>
        <w:jc w:val="both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21000000">
      <w:pPr>
        <w:spacing w:after="150" w:before="0"/>
        <w:ind w:hanging="120" w:left="120" w:right="0"/>
        <w:jc w:val="both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22000000">
      <w:pPr>
        <w:spacing w:after="150" w:before="0"/>
        <w:ind w:hanging="120" w:left="120" w:right="0"/>
        <w:jc w:val="both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252525"/>
          <w:spacing w:val="0"/>
          <w:sz w:val="28"/>
          <w:highlight w:val="white"/>
        </w:rPr>
        <w:t>ПЛАНИРУЕМЫЕ РЕЗУЛЬТАТЫ ОСВОЕНИЯ КУРСА</w:t>
      </w:r>
      <w:r>
        <w:rPr>
          <w:rFonts w:ascii="XO Thames" w:hAnsi="XO Thames"/>
          <w:b w:val="0"/>
          <w:sz w:val="28"/>
        </w:rPr>
        <w:br/>
      </w: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Программа способствует развитию личностных, метапредметных и трудовых результатов у обучающихся, а именно:</w:t>
      </w:r>
    </w:p>
    <w:p w14:paraId="23000000">
      <w:pPr>
        <w:spacing w:after="150" w:before="0"/>
        <w:ind w:hanging="120" w:left="120" w:right="0"/>
        <w:jc w:val="left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1"/>
          <w:caps w:val="0"/>
          <w:color w:val="000000"/>
          <w:spacing w:val="0"/>
          <w:sz w:val="28"/>
          <w:highlight w:val="white"/>
        </w:rPr>
        <w:t>Личностные:</w:t>
      </w:r>
    </w:p>
    <w:p w14:paraId="24000000">
      <w:pPr>
        <w:numPr>
          <w:ilvl w:val="0"/>
          <w:numId w:val="2"/>
        </w:numPr>
        <w:spacing w:after="150" w:before="0"/>
        <w:ind w:firstLine="0" w:left="0" w:right="0"/>
        <w:jc w:val="left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Формирование готовности обучающихся к саморазвитию, самостоятельности и личностному самоопределению;</w:t>
      </w:r>
    </w:p>
    <w:p w14:paraId="25000000">
      <w:pPr>
        <w:numPr>
          <w:ilvl w:val="0"/>
          <w:numId w:val="2"/>
        </w:numPr>
        <w:spacing w:after="150" w:before="0"/>
        <w:ind w:firstLine="0" w:left="0" w:right="0"/>
        <w:jc w:val="left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формирование мотивации к целенаправленной социально значимой деятельности;</w:t>
      </w:r>
    </w:p>
    <w:p w14:paraId="26000000">
      <w:pPr>
        <w:numPr>
          <w:ilvl w:val="0"/>
          <w:numId w:val="2"/>
        </w:numPr>
        <w:spacing w:after="150" w:before="0"/>
        <w:ind w:firstLine="0" w:left="0" w:right="0"/>
        <w:jc w:val="left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формирование внутренней позиции личности как особого ценностного отношения к себе, окружающим людям и жизни в целом.</w:t>
      </w:r>
    </w:p>
    <w:p w14:paraId="27000000">
      <w:pPr>
        <w:spacing w:after="150" w:before="0"/>
        <w:ind w:hanging="120" w:left="120" w:right="0"/>
        <w:jc w:val="left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1"/>
          <w:caps w:val="0"/>
          <w:color w:val="000000"/>
          <w:spacing w:val="0"/>
          <w:sz w:val="28"/>
          <w:highlight w:val="white"/>
        </w:rPr>
        <w:t>Метапредметные:</w:t>
      </w:r>
    </w:p>
    <w:p w14:paraId="28000000">
      <w:pPr>
        <w:numPr>
          <w:ilvl w:val="0"/>
          <w:numId w:val="3"/>
        </w:numPr>
        <w:spacing w:after="150" w:before="0"/>
        <w:ind w:firstLine="0" w:left="0" w:right="0"/>
        <w:jc w:val="left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освоение обучающимися межпредметных понятий (используются в нескольких предметных областях и позволяют связывать знания из различных учебных предметов, учебных курсов (в том числе внеурочной деятельности), учебных модулей в целостную научную картину мира) и универсальные учебные действия (познавательные, коммуникативные, рягулятивные);</w:t>
      </w:r>
    </w:p>
    <w:p w14:paraId="29000000">
      <w:pPr>
        <w:numPr>
          <w:ilvl w:val="0"/>
          <w:numId w:val="3"/>
        </w:numPr>
        <w:spacing w:after="150" w:before="0"/>
        <w:ind w:firstLine="0" w:left="0" w:right="0"/>
        <w:jc w:val="left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способность их использовать в учебной, познавательной и социальной практике;</w:t>
      </w:r>
    </w:p>
    <w:p w14:paraId="2A000000">
      <w:pPr>
        <w:numPr>
          <w:ilvl w:val="0"/>
          <w:numId w:val="3"/>
        </w:numPr>
        <w:spacing w:after="150" w:before="0"/>
        <w:ind w:firstLine="0" w:left="0" w:right="0"/>
        <w:jc w:val="left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формирование готовности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сверстниками, к участию в построении индивидуальной образовательной траектории.</w:t>
      </w:r>
    </w:p>
    <w:p w14:paraId="2B000000">
      <w:pPr>
        <w:spacing w:after="150" w:before="0"/>
        <w:ind w:hanging="120" w:left="120" w:right="0"/>
        <w:jc w:val="left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1"/>
          <w:caps w:val="0"/>
          <w:color w:val="000000"/>
          <w:spacing w:val="0"/>
          <w:sz w:val="28"/>
          <w:highlight w:val="white"/>
        </w:rPr>
        <w:t>Трудовые:</w:t>
      </w:r>
    </w:p>
    <w:p w14:paraId="2C000000">
      <w:pPr>
        <w:numPr>
          <w:ilvl w:val="0"/>
          <w:numId w:val="4"/>
        </w:numPr>
        <w:spacing w:after="150" w:before="0"/>
        <w:ind w:firstLine="0" w:left="0" w:right="0"/>
        <w:jc w:val="left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формирование интереса к практическому изучению профессий и труда различного рода, в том числе на основе применения изучаемого предметного знания;</w:t>
      </w:r>
    </w:p>
    <w:p w14:paraId="2D000000">
      <w:pPr>
        <w:numPr>
          <w:ilvl w:val="0"/>
          <w:numId w:val="4"/>
        </w:numPr>
        <w:spacing w:after="150" w:before="0"/>
        <w:ind w:firstLine="0" w:left="0" w:right="0"/>
        <w:jc w:val="left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14:paraId="2E000000">
      <w:pPr>
        <w:numPr>
          <w:ilvl w:val="0"/>
          <w:numId w:val="4"/>
        </w:numPr>
        <w:spacing w:after="150" w:before="0"/>
        <w:ind w:firstLine="0" w:left="0" w:right="0"/>
        <w:jc w:val="left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формирование уважения к труду и результатам трудовой деятельности;</w:t>
      </w:r>
    </w:p>
    <w:p w14:paraId="2F000000">
      <w:pPr>
        <w:numPr>
          <w:ilvl w:val="0"/>
          <w:numId w:val="4"/>
        </w:numPr>
        <w:spacing w:after="150" w:before="0"/>
        <w:ind w:firstLine="0" w:left="0" w:right="0"/>
        <w:jc w:val="left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формирование осознанного выбора и построение индивидуальной траектории образования и жизненных планов с учетом личных и общественных интересов и потребностей.</w:t>
      </w:r>
    </w:p>
    <w:p w14:paraId="30000000">
      <w:pPr>
        <w:spacing w:after="150" w:before="0"/>
        <w:ind w:hanging="120" w:left="120" w:right="0"/>
        <w:jc w:val="center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  <w:t>Воспитательные задачи внеурочной деятельности</w:t>
      </w:r>
    </w:p>
    <w:p w14:paraId="31000000">
      <w:pPr>
        <w:numPr>
          <w:ilvl w:val="0"/>
          <w:numId w:val="5"/>
        </w:numPr>
        <w:spacing w:after="150" w:before="0"/>
        <w:ind w:firstLine="0" w:left="0" w:right="0"/>
        <w:jc w:val="both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вовлечь обучающихся в интересную и полезную деятельность для удовлетворения познавательных интересов, самореализации, развития способностей в разных сферах;</w:t>
      </w:r>
    </w:p>
    <w:p w14:paraId="32000000">
      <w:pPr>
        <w:numPr>
          <w:ilvl w:val="0"/>
          <w:numId w:val="5"/>
        </w:numPr>
        <w:spacing w:after="150" w:before="0"/>
        <w:ind w:firstLine="0" w:left="0" w:right="0"/>
        <w:jc w:val="both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формировать в кружках, секциях, клубах, студиях детско-взрослых общностей общие позитивные эмоции и доверительные отношения;</w:t>
      </w:r>
    </w:p>
    <w:p w14:paraId="33000000">
      <w:pPr>
        <w:numPr>
          <w:ilvl w:val="0"/>
          <w:numId w:val="5"/>
        </w:numPr>
        <w:spacing w:after="150" w:before="0"/>
        <w:ind w:firstLine="0" w:left="0" w:right="0"/>
        <w:jc w:val="both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поддержать средствами внеурочной деятельности обучающихся с выраженной лидерской позицией;</w:t>
      </w:r>
    </w:p>
    <w:p w14:paraId="34000000">
      <w:pPr>
        <w:numPr>
          <w:ilvl w:val="0"/>
          <w:numId w:val="5"/>
        </w:numPr>
        <w:spacing w:after="150" w:before="0"/>
        <w:ind w:firstLine="0" w:left="0" w:right="0"/>
        <w:jc w:val="both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поощрять педагогическими работниками детские инициативы, проекты, самостоятельность, самоорганизацию в соответствии с их интересами</w:t>
      </w:r>
    </w:p>
    <w:p w14:paraId="35000000">
      <w:pPr>
        <w:spacing w:after="150" w:before="0"/>
        <w:ind w:hanging="120" w:left="120" w:right="0"/>
        <w:jc w:val="left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1"/>
          <w:i w:val="0"/>
          <w:caps w:val="0"/>
          <w:color w:val="000000"/>
          <w:spacing w:val="0"/>
          <w:sz w:val="28"/>
          <w:highlight w:val="white"/>
        </w:rPr>
        <w:t>Воспитательные задачи внеурочной деятельности:</w:t>
      </w:r>
    </w:p>
    <w:p w14:paraId="36000000">
      <w:pPr>
        <w:numPr>
          <w:ilvl w:val="1"/>
          <w:numId w:val="6"/>
        </w:numPr>
        <w:spacing w:after="150" w:before="0"/>
        <w:ind w:firstLine="0" w:left="0" w:right="0"/>
        <w:jc w:val="left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вовлечь обучающихся в интересную и полезную деятельность для удовлетворения познавательных интересов, самореализации, развития способностей в разных сферах;</w:t>
      </w:r>
    </w:p>
    <w:p w14:paraId="37000000">
      <w:pPr>
        <w:numPr>
          <w:ilvl w:val="1"/>
          <w:numId w:val="6"/>
        </w:numPr>
        <w:spacing w:after="150" w:before="0"/>
        <w:ind w:firstLine="0" w:left="0" w:right="0"/>
        <w:jc w:val="left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формировать в кружках, секциях, клубах, студиях детско-взрослых общностей общие позитивные эмоции и доверительные отношения;</w:t>
      </w:r>
    </w:p>
    <w:p w14:paraId="38000000">
      <w:pPr>
        <w:numPr>
          <w:ilvl w:val="1"/>
          <w:numId w:val="6"/>
        </w:numPr>
        <w:spacing w:after="150" w:before="0"/>
        <w:ind w:firstLine="0" w:left="0" w:right="0"/>
        <w:jc w:val="left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поддержать средствами внеурочной деятельности обучающихся с выраженной лидерской позицией;</w:t>
      </w:r>
    </w:p>
    <w:p w14:paraId="39000000">
      <w:pPr>
        <w:numPr>
          <w:ilvl w:val="1"/>
          <w:numId w:val="6"/>
        </w:numPr>
        <w:spacing w:after="150" w:before="0"/>
        <w:ind w:firstLine="0" w:left="0" w:right="0"/>
        <w:jc w:val="left"/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XO Thames" w:hAnsi="XO Thames"/>
          <w:b w:val="0"/>
          <w:i w:val="0"/>
          <w:caps w:val="0"/>
          <w:color w:val="000000"/>
          <w:spacing w:val="0"/>
          <w:sz w:val="28"/>
          <w:highlight w:val="white"/>
        </w:rPr>
        <w:t>поощрять педагогическими работниками детские инициативы, проекты, самостоятельность, самоорганизацию в соответствии с их интересами.</w:t>
      </w:r>
    </w:p>
    <w:p w14:paraId="3A000000">
      <w:pPr>
        <w:spacing w:after="150" w:before="0"/>
        <w:ind w:hanging="120" w:left="120" w:right="0"/>
        <w:jc w:val="left"/>
        <w:rPr>
          <w:rFonts w:ascii="PT Sans" w:hAnsi="PT Sans"/>
          <w:b w:val="0"/>
          <w:i w:val="0"/>
          <w:caps w:val="0"/>
          <w:color w:val="000000"/>
          <w:spacing w:val="0"/>
          <w:sz w:val="21"/>
          <w:highlight w:val="white"/>
        </w:rPr>
      </w:pPr>
      <w:r>
        <w:br/>
      </w:r>
    </w:p>
    <w:p w14:paraId="3B000000"/>
    <w:sectPr>
      <w:pgSz w:h="16848" w:w="11908"/>
      <w:pgMar w:bottom="691" w:left="850" w:right="850" w:top="85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3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4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5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next w:val="Style_1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next w:val="Style_1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heading 3"/>
    <w:next w:val="Style_1"/>
    <w:link w:val="Style_6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6_ch" w:type="character">
    <w:name w:val="heading 3"/>
    <w:link w:val="Style_6"/>
    <w:rPr>
      <w:rFonts w:ascii="XO Thames" w:hAnsi="XO Thames"/>
      <w:b w:val="1"/>
      <w:i w:val="1"/>
      <w:color w:val="000000"/>
    </w:rPr>
  </w:style>
  <w:style w:styleId="Style_7" w:type="paragraph">
    <w:name w:val="toc 3"/>
    <w:next w:val="Style_1"/>
    <w:link w:val="Style_7_ch"/>
    <w:uiPriority w:val="39"/>
    <w:pPr>
      <w:ind w:firstLine="0" w:left="400"/>
    </w:pPr>
  </w:style>
  <w:style w:styleId="Style_7_ch" w:type="character">
    <w:name w:val="toc 3"/>
    <w:link w:val="Style_7"/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8_ch" w:type="character">
    <w:name w:val="heading 5"/>
    <w:link w:val="Style_8"/>
    <w:rPr>
      <w:rFonts w:ascii="XO Thames" w:hAnsi="XO Thames"/>
      <w:b w:val="1"/>
      <w:color w:val="000000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/>
      <w:jc w:val="left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</w:pPr>
    <w:rPr>
      <w:rFonts w:ascii="XO Thames" w:hAnsi="XO Thames"/>
      <w:b w:val="1"/>
    </w:rPr>
  </w:style>
  <w:style w:styleId="Style_12_ch" w:type="character">
    <w:name w:val="toc 1"/>
    <w:link w:val="Style_12"/>
    <w:rPr>
      <w:rFonts w:ascii="XO Thames" w:hAnsi="XO Thames"/>
      <w:b w:val="1"/>
    </w:rPr>
  </w:style>
  <w:style w:styleId="Style_13" w:type="paragraph">
    <w:name w:val="Header and Footer"/>
    <w:link w:val="Style_13_ch"/>
    <w:pPr>
      <w:spacing w:line="360" w:lineRule="auto"/>
      <w:ind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</w:pPr>
  </w:style>
  <w:style w:styleId="Style_14_ch" w:type="character">
    <w:name w:val="toc 9"/>
    <w:link w:val="Style_14"/>
  </w:style>
  <w:style w:styleId="Style_15" w:type="paragraph">
    <w:name w:val="toc 8"/>
    <w:next w:val="Style_1"/>
    <w:link w:val="Style_15_ch"/>
    <w:uiPriority w:val="39"/>
    <w:pPr>
      <w:ind w:firstLine="0" w:left="1400"/>
    </w:pPr>
  </w:style>
  <w:style w:styleId="Style_15_ch" w:type="character">
    <w:name w:val="toc 8"/>
    <w:link w:val="Style_15"/>
  </w:style>
  <w:style w:styleId="Style_16" w:type="paragraph">
    <w:name w:val="toc 5"/>
    <w:next w:val="Style_1"/>
    <w:link w:val="Style_16_ch"/>
    <w:uiPriority w:val="39"/>
    <w:pPr>
      <w:ind w:firstLine="0" w:left="800"/>
    </w:pPr>
  </w:style>
  <w:style w:styleId="Style_16_ch" w:type="character">
    <w:name w:val="toc 5"/>
    <w:link w:val="Style_16"/>
  </w:style>
  <w:style w:styleId="Style_17" w:type="paragraph">
    <w:name w:val="Subtitle"/>
    <w:next w:val="Style_1"/>
    <w:link w:val="Style_17_ch"/>
    <w:uiPriority w:val="11"/>
    <w:qFormat/>
    <w:rPr>
      <w:rFonts w:ascii="XO Thames" w:hAnsi="XO Thames"/>
      <w:i w:val="1"/>
      <w:color w:val="616161"/>
      <w:sz w:val="24"/>
    </w:rPr>
  </w:style>
  <w:style w:styleId="Style_17_ch" w:type="character">
    <w:name w:val="Subtitle"/>
    <w:link w:val="Style_17"/>
    <w:rPr>
      <w:rFonts w:ascii="XO Thames" w:hAnsi="XO Thames"/>
      <w:i w:val="1"/>
      <w:color w:val="616161"/>
      <w:sz w:val="24"/>
    </w:rPr>
  </w:style>
  <w:style w:styleId="Style_18" w:type="paragraph">
    <w:name w:val="toc 10"/>
    <w:next w:val="Style_1"/>
    <w:link w:val="Style_18_ch"/>
    <w:uiPriority w:val="39"/>
    <w:pPr>
      <w:ind w:firstLine="0" w:left="1800"/>
    </w:pPr>
  </w:style>
  <w:style w:styleId="Style_18_ch" w:type="character">
    <w:name w:val="toc 10"/>
    <w:link w:val="Style_18"/>
  </w:style>
  <w:style w:styleId="Style_19" w:type="paragraph">
    <w:name w:val="Title"/>
    <w:next w:val="Style_1"/>
    <w:link w:val="Style_19_ch"/>
    <w:uiPriority w:val="10"/>
    <w:qFormat/>
    <w:rPr>
      <w:rFonts w:ascii="XO Thames" w:hAnsi="XO Thames"/>
      <w:b w:val="1"/>
      <w:sz w:val="52"/>
    </w:rPr>
  </w:style>
  <w:style w:styleId="Style_19_ch" w:type="character">
    <w:name w:val="Title"/>
    <w:link w:val="Style_19"/>
    <w:rPr>
      <w:rFonts w:ascii="XO Thames" w:hAnsi="XO Thames"/>
      <w:b w:val="1"/>
      <w:sz w:val="52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0_ch" w:type="character">
    <w:name w:val="heading 4"/>
    <w:link w:val="Style_20"/>
    <w:rPr>
      <w:rFonts w:ascii="XO Thames" w:hAnsi="XO Thames"/>
      <w:b w:val="1"/>
      <w:color w:val="595959"/>
      <w:sz w:val="26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1_ch" w:type="character">
    <w:name w:val="heading 2"/>
    <w:link w:val="Style_21"/>
    <w:rPr>
      <w:rFonts w:ascii="XO Thames" w:hAnsi="XO Thames"/>
      <w:b w:val="1"/>
      <w:color w:val="00A0FF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_rels/core.xml.rels><?xml version="1.0" encoding="UTF-8" standalone="no" ?>
<Relationships xmlns="http://schemas.openxmlformats.org/package/2006/relationships">
  <Relationship Id="rId1" Target="core.xml" Type="http://schemas.openxmlformats.org/officeDocument/2006/relationships/extended-properties"/>
</Relationships>
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MyOffice-CoreFramework-Windows/21.1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2023-10-19T10:00:22Z</dcterms:modified>
</cp:coreProperties>
</file>